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1CC" w:rsidRPr="008654CC" w:rsidRDefault="006251CC" w:rsidP="006251CC">
      <w:pPr>
        <w:rPr>
          <w:rFonts w:ascii="Calisto MT" w:hAnsi="Calisto MT"/>
          <w:b/>
        </w:rPr>
      </w:pPr>
    </w:p>
    <w:p w:rsidR="006251CC" w:rsidRPr="006251CC" w:rsidRDefault="006251CC" w:rsidP="006251CC">
      <w:pPr>
        <w:pStyle w:val="Heading1"/>
      </w:pPr>
      <w:r>
        <w:t>8</w:t>
      </w:r>
      <w:r w:rsidRPr="00C02FA3">
        <w:t>.</w:t>
      </w:r>
      <w:r w:rsidRPr="00C02FA3">
        <w:tab/>
        <w:t>Witness – Michelle Connelly</w:t>
      </w:r>
    </w:p>
    <w:p w:rsidR="006251CC" w:rsidRDefault="006251CC" w:rsidP="006251CC">
      <w:pPr>
        <w:pStyle w:val="NoSpacing"/>
        <w:rPr>
          <w:rFonts w:ascii="Calisto MT" w:hAnsi="Calisto MT"/>
          <w:sz w:val="24"/>
          <w:szCs w:val="24"/>
        </w:rPr>
      </w:pPr>
    </w:p>
    <w:p w:rsidR="006251CC" w:rsidRPr="008B401E" w:rsidRDefault="006251CC" w:rsidP="006251CC">
      <w:pPr>
        <w:contextualSpacing/>
        <w:jc w:val="both"/>
        <w:rPr>
          <w:rFonts w:ascii="Calisto MT" w:hAnsi="Calisto MT"/>
        </w:rPr>
      </w:pPr>
      <w:r w:rsidRPr="008B401E">
        <w:rPr>
          <w:rFonts w:ascii="Calisto MT" w:hAnsi="Calisto MT"/>
        </w:rPr>
        <w:t xml:space="preserve">My name is Michelle Connelly </w:t>
      </w:r>
      <w:r>
        <w:rPr>
          <w:rFonts w:ascii="Calisto MT" w:hAnsi="Calisto MT"/>
        </w:rPr>
        <w:t xml:space="preserve">(MICHELLE CONNELLY) </w:t>
      </w:r>
      <w:r w:rsidRPr="008B401E">
        <w:rPr>
          <w:rFonts w:ascii="Calisto MT" w:hAnsi="Calisto MT"/>
        </w:rPr>
        <w:t xml:space="preserve">and I am the Executive Director of the California Walnut Board and CEO for the California Walnut Commission. I have had the pleasure of serving this industry for the past 16 years in the international </w:t>
      </w:r>
      <w:r>
        <w:rPr>
          <w:rFonts w:ascii="Calisto MT" w:hAnsi="Calisto MT"/>
        </w:rPr>
        <w:t xml:space="preserve">marketing </w:t>
      </w:r>
      <w:r w:rsidRPr="008B401E">
        <w:rPr>
          <w:rFonts w:ascii="Calisto MT" w:hAnsi="Calisto MT"/>
        </w:rPr>
        <w:t xml:space="preserve">and executive capacities. </w:t>
      </w:r>
      <w:r>
        <w:rPr>
          <w:rFonts w:ascii="Calisto MT" w:hAnsi="Calisto MT"/>
        </w:rPr>
        <w:t xml:space="preserve">Today I will be testifying regarding the proposal implementation, point 8 of the justification. My written testimony has been provided and with evidence that will be provided for this testimony. </w:t>
      </w:r>
    </w:p>
    <w:p w:rsidR="006251CC" w:rsidRDefault="006251CC" w:rsidP="006251CC">
      <w:pPr>
        <w:contextualSpacing/>
        <w:jc w:val="both"/>
        <w:rPr>
          <w:rFonts w:ascii="Calisto MT" w:hAnsi="Calisto MT"/>
          <w:b/>
        </w:rPr>
      </w:pPr>
    </w:p>
    <w:p w:rsidR="006251CC" w:rsidRPr="008654CC" w:rsidRDefault="006251CC" w:rsidP="006251CC">
      <w:pPr>
        <w:contextualSpacing/>
        <w:jc w:val="both"/>
        <w:rPr>
          <w:rFonts w:ascii="Calisto MT" w:hAnsi="Calisto MT"/>
        </w:rPr>
      </w:pPr>
      <w:r>
        <w:rPr>
          <w:rFonts w:ascii="Calisto MT" w:hAnsi="Calisto MT"/>
        </w:rPr>
        <w:t xml:space="preserve">To reiterate, the proposal will </w:t>
      </w:r>
      <w:r w:rsidRPr="008654CC">
        <w:rPr>
          <w:rFonts w:ascii="Calisto MT" w:hAnsi="Calisto MT"/>
        </w:rPr>
        <w:t xml:space="preserve">be implemented via the authority’s parameters and the requirements proposed under the new §984.546.  </w:t>
      </w:r>
      <w:r w:rsidRPr="008654CC">
        <w:rPr>
          <w:rFonts w:ascii="Calisto MT" w:hAnsi="Calisto MT" w:cs="Arial"/>
          <w:color w:val="FF0000"/>
        </w:rPr>
        <w:t xml:space="preserve"> </w:t>
      </w:r>
      <w:r w:rsidRPr="008654CC">
        <w:rPr>
          <w:rFonts w:ascii="Calisto MT" w:hAnsi="Calisto MT"/>
        </w:rPr>
        <w:t xml:space="preserve"> Following approval from the Secretary, the CWB would implement the program to become effective the following crop/fiscal year.  Annually, the CWB will establish a budget with annual assessment to be collected including a budget for the credit back program.  The CWB would then communicate to handlers that the credit-back option is available, their pro rata portion of available credit-back funds, and program</w:t>
      </w:r>
      <w:r>
        <w:rPr>
          <w:rFonts w:ascii="Calisto MT" w:hAnsi="Calisto MT"/>
        </w:rPr>
        <w:t xml:space="preserve"> procedures</w:t>
      </w:r>
      <w:r w:rsidRPr="008654CC">
        <w:rPr>
          <w:rFonts w:ascii="Calisto MT" w:hAnsi="Calisto MT"/>
        </w:rPr>
        <w:t xml:space="preserve"> and </w:t>
      </w:r>
      <w:r>
        <w:rPr>
          <w:rFonts w:ascii="Calisto MT" w:hAnsi="Calisto MT"/>
        </w:rPr>
        <w:t>their</w:t>
      </w:r>
      <w:r w:rsidRPr="008654CC">
        <w:rPr>
          <w:rFonts w:ascii="Calisto MT" w:hAnsi="Calisto MT"/>
        </w:rPr>
        <w:t xml:space="preserve"> use, including activities that are eligible for credit-back.</w:t>
      </w:r>
    </w:p>
    <w:p w:rsidR="006251CC" w:rsidRPr="008654CC" w:rsidRDefault="006251CC" w:rsidP="006251CC">
      <w:pPr>
        <w:pStyle w:val="BodyText2"/>
        <w:rPr>
          <w:rFonts w:ascii="Calisto MT" w:hAnsi="Calisto MT"/>
          <w:b w:val="0"/>
          <w:bCs w:val="0"/>
          <w:sz w:val="24"/>
        </w:rPr>
      </w:pPr>
    </w:p>
    <w:p w:rsidR="006251CC" w:rsidRPr="008654CC" w:rsidRDefault="006251CC" w:rsidP="006251CC">
      <w:pPr>
        <w:pStyle w:val="BodyText2"/>
        <w:rPr>
          <w:rFonts w:ascii="Calisto MT" w:hAnsi="Calisto MT"/>
          <w:b w:val="0"/>
          <w:bCs w:val="0"/>
          <w:sz w:val="24"/>
        </w:rPr>
      </w:pPr>
      <w:r>
        <w:rPr>
          <w:rFonts w:ascii="Calisto MT" w:hAnsi="Calisto MT"/>
          <w:b w:val="0"/>
          <w:bCs w:val="0"/>
          <w:sz w:val="24"/>
        </w:rPr>
        <w:t>I would now like to addresses a few points relative to the language in paragraphs a, b, c, d, e (1-4) language</w:t>
      </w:r>
      <w:r w:rsidRPr="008654CC">
        <w:rPr>
          <w:rFonts w:ascii="Calisto MT" w:hAnsi="Calisto MT"/>
          <w:b w:val="0"/>
          <w:bCs w:val="0"/>
          <w:sz w:val="24"/>
        </w:rPr>
        <w:t>:</w:t>
      </w:r>
    </w:p>
    <w:p w:rsidR="006251CC" w:rsidRPr="008654CC" w:rsidRDefault="006251CC" w:rsidP="006251CC">
      <w:pPr>
        <w:pStyle w:val="BodyText2"/>
        <w:rPr>
          <w:rFonts w:ascii="Calisto MT" w:hAnsi="Calisto MT"/>
          <w:bCs w:val="0"/>
          <w:sz w:val="24"/>
          <w:u w:val="single"/>
        </w:rPr>
      </w:pPr>
    </w:p>
    <w:p w:rsidR="006251CC" w:rsidRPr="00254D14" w:rsidRDefault="006251CC" w:rsidP="006251CC">
      <w:pPr>
        <w:pStyle w:val="BodyText2"/>
        <w:jc w:val="both"/>
        <w:rPr>
          <w:rFonts w:ascii="Calisto MT" w:hAnsi="Calisto MT"/>
          <w:b w:val="0"/>
          <w:bCs w:val="0"/>
          <w:sz w:val="24"/>
        </w:rPr>
      </w:pPr>
      <w:r w:rsidRPr="006B6A6A">
        <w:rPr>
          <w:rFonts w:ascii="Calisto MT" w:hAnsi="Calisto MT"/>
          <w:b w:val="0"/>
          <w:bCs w:val="0"/>
          <w:sz w:val="24"/>
        </w:rPr>
        <w:t xml:space="preserve">The MORC Committee and staff developed the </w:t>
      </w:r>
      <w:r>
        <w:rPr>
          <w:rFonts w:ascii="Calisto MT" w:hAnsi="Calisto MT"/>
          <w:b w:val="0"/>
          <w:bCs w:val="0"/>
          <w:sz w:val="24"/>
        </w:rPr>
        <w:t xml:space="preserve">procedures </w:t>
      </w:r>
      <w:r w:rsidRPr="006B6A6A">
        <w:rPr>
          <w:rFonts w:ascii="Calisto MT" w:hAnsi="Calisto MT"/>
          <w:b w:val="0"/>
          <w:bCs w:val="0"/>
          <w:sz w:val="24"/>
        </w:rPr>
        <w:t xml:space="preserve">with careful thought as to how the program could be reasonably administered, such that the mechanics were thought </w:t>
      </w:r>
      <w:r w:rsidRPr="00254D14">
        <w:rPr>
          <w:rFonts w:ascii="Calisto MT" w:hAnsi="Calisto MT"/>
          <w:b w:val="0"/>
          <w:bCs w:val="0"/>
          <w:sz w:val="24"/>
        </w:rPr>
        <w:t>through from an implementation perspective</w:t>
      </w:r>
      <w:r>
        <w:rPr>
          <w:rFonts w:ascii="Calisto MT" w:hAnsi="Calisto MT"/>
          <w:b w:val="0"/>
          <w:bCs w:val="0"/>
          <w:sz w:val="24"/>
        </w:rPr>
        <w:t>.</w:t>
      </w:r>
      <w:r w:rsidRPr="00254D14">
        <w:rPr>
          <w:rFonts w:ascii="Calisto MT" w:hAnsi="Calisto MT"/>
          <w:b w:val="0"/>
          <w:bCs w:val="0"/>
          <w:sz w:val="24"/>
        </w:rPr>
        <w:t xml:space="preserve"> </w:t>
      </w:r>
      <w:r w:rsidRPr="00254D14">
        <w:rPr>
          <w:rFonts w:ascii="Calisto MT" w:hAnsi="Calisto MT"/>
          <w:b w:val="0"/>
          <w:sz w:val="24"/>
        </w:rPr>
        <w:t xml:space="preserve">The Board has pre-determined the scope of eligible expenditure in the credit-back guide however; the authority for program management will be delegated to staff to implement, CWB accounting staff will administer with the input of the Executive Director and marketing staff, where applicable.  </w:t>
      </w:r>
    </w:p>
    <w:p w:rsidR="006251CC" w:rsidRPr="00254D14" w:rsidRDefault="006251CC" w:rsidP="006251CC">
      <w:pPr>
        <w:pStyle w:val="BodyText2"/>
        <w:jc w:val="both"/>
        <w:rPr>
          <w:rFonts w:ascii="Calisto MT" w:hAnsi="Calisto MT"/>
          <w:b w:val="0"/>
          <w:bCs w:val="0"/>
          <w:sz w:val="24"/>
        </w:rPr>
      </w:pPr>
    </w:p>
    <w:p w:rsidR="006251CC" w:rsidRPr="00254D14" w:rsidRDefault="006251CC" w:rsidP="006251CC">
      <w:pPr>
        <w:pStyle w:val="BodyText2"/>
        <w:jc w:val="both"/>
        <w:rPr>
          <w:rFonts w:ascii="Calisto MT" w:hAnsi="Calisto MT"/>
          <w:b w:val="0"/>
          <w:sz w:val="24"/>
        </w:rPr>
      </w:pPr>
      <w:r w:rsidRPr="00254D14">
        <w:rPr>
          <w:rFonts w:ascii="Calisto MT" w:hAnsi="Calisto MT"/>
          <w:b w:val="0"/>
          <w:sz w:val="24"/>
        </w:rPr>
        <w:t xml:space="preserve">The </w:t>
      </w:r>
      <w:r>
        <w:rPr>
          <w:rFonts w:ascii="Calisto MT" w:hAnsi="Calisto MT"/>
          <w:b w:val="0"/>
          <w:sz w:val="24"/>
        </w:rPr>
        <w:t xml:space="preserve">procedures </w:t>
      </w:r>
      <w:r w:rsidRPr="00254D14">
        <w:rPr>
          <w:rFonts w:ascii="Calisto MT" w:hAnsi="Calisto MT"/>
          <w:b w:val="0"/>
          <w:sz w:val="24"/>
        </w:rPr>
        <w:t>explicitly define the eligible and ineligible activities as a means to guide program users and mitigate the role of staff interpretation.  The activities are very straightforward.</w:t>
      </w:r>
    </w:p>
    <w:p w:rsidR="006251CC" w:rsidRPr="00254D14" w:rsidRDefault="006251CC" w:rsidP="006251CC">
      <w:pPr>
        <w:pStyle w:val="BodyText2"/>
        <w:jc w:val="both"/>
        <w:rPr>
          <w:rFonts w:ascii="Calisto MT" w:hAnsi="Calisto MT"/>
          <w:b w:val="0"/>
          <w:sz w:val="24"/>
        </w:rPr>
      </w:pPr>
    </w:p>
    <w:p w:rsidR="006251CC" w:rsidRDefault="006251CC" w:rsidP="006251CC">
      <w:pPr>
        <w:pStyle w:val="BodyText2"/>
        <w:jc w:val="both"/>
        <w:rPr>
          <w:rFonts w:ascii="Calisto MT" w:hAnsi="Calisto MT"/>
          <w:b w:val="0"/>
          <w:sz w:val="24"/>
        </w:rPr>
      </w:pPr>
      <w:r w:rsidRPr="00254D14">
        <w:rPr>
          <w:rFonts w:ascii="Calisto MT" w:hAnsi="Calisto MT"/>
          <w:b w:val="0"/>
          <w:sz w:val="24"/>
        </w:rPr>
        <w:t xml:space="preserve">Handlers have a portion of funds, as determined by prior year’s percent of total acquisitions, and percent of budgeted revenue as determined by the Board, which can be used for reimbursement against assessment for eligible activities.  </w:t>
      </w:r>
      <w:r w:rsidRPr="00254D14">
        <w:rPr>
          <w:rFonts w:ascii="Calisto MT" w:hAnsi="Calisto MT"/>
          <w:b w:val="0"/>
          <w:bCs w:val="0"/>
          <w:sz w:val="24"/>
        </w:rPr>
        <w:t>Each handler’s portion of available funds would be based on the prior year acquisitions, as a means to determine their “ceiling” for eligible expenditures based on budgeted funds for the program.  The prior year would be the best available data to determine that share, as acquisitions are reported throughout the year</w:t>
      </w:r>
      <w:r w:rsidRPr="00254D14">
        <w:rPr>
          <w:rFonts w:ascii="Calisto MT" w:hAnsi="Calisto MT"/>
          <w:b w:val="0"/>
          <w:sz w:val="24"/>
        </w:rPr>
        <w:t>.</w:t>
      </w:r>
    </w:p>
    <w:p w:rsidR="006251CC" w:rsidRDefault="006251CC" w:rsidP="006251CC">
      <w:pPr>
        <w:pStyle w:val="BodyText2"/>
        <w:jc w:val="both"/>
        <w:rPr>
          <w:rFonts w:ascii="Calisto MT" w:hAnsi="Calisto MT"/>
          <w:b w:val="0"/>
          <w:sz w:val="24"/>
        </w:rPr>
      </w:pPr>
    </w:p>
    <w:p w:rsidR="006251CC" w:rsidRPr="006B30B9" w:rsidRDefault="006251CC" w:rsidP="006251CC">
      <w:pPr>
        <w:pStyle w:val="BodyText2"/>
        <w:jc w:val="both"/>
        <w:rPr>
          <w:rFonts w:ascii="Calisto MT" w:hAnsi="Calisto MT"/>
          <w:sz w:val="24"/>
        </w:rPr>
      </w:pPr>
      <w:r w:rsidRPr="006B30B9">
        <w:rPr>
          <w:rFonts w:ascii="Calisto MT" w:hAnsi="Calisto MT"/>
          <w:sz w:val="24"/>
        </w:rPr>
        <w:t xml:space="preserve">Enter evidence - </w:t>
      </w:r>
      <w:r w:rsidRPr="006B30B9">
        <w:rPr>
          <w:rFonts w:ascii="Calisto MT" w:hAnsi="Calisto MT"/>
        </w:rPr>
        <w:t>PowerPoint slides with Activity types, sample calculations of creditable expenditures, sample calculation of handler share of available dollars</w:t>
      </w:r>
    </w:p>
    <w:p w:rsidR="006251CC" w:rsidRPr="00254D14" w:rsidRDefault="006251CC" w:rsidP="006251CC">
      <w:pPr>
        <w:pStyle w:val="BodyText2"/>
        <w:jc w:val="both"/>
        <w:rPr>
          <w:rFonts w:ascii="Calisto MT" w:hAnsi="Calisto MT"/>
          <w:b w:val="0"/>
          <w:sz w:val="24"/>
        </w:rPr>
      </w:pPr>
    </w:p>
    <w:p w:rsidR="006251CC" w:rsidRPr="00254D14" w:rsidRDefault="006251CC" w:rsidP="006251CC">
      <w:pPr>
        <w:pStyle w:val="BodyText2"/>
        <w:jc w:val="both"/>
        <w:rPr>
          <w:rFonts w:ascii="Calisto MT" w:hAnsi="Calisto MT"/>
          <w:b w:val="0"/>
          <w:bCs w:val="0"/>
          <w:sz w:val="24"/>
        </w:rPr>
      </w:pPr>
      <w:r w:rsidRPr="00254D14">
        <w:rPr>
          <w:rFonts w:ascii="Calisto MT" w:hAnsi="Calisto MT"/>
          <w:b w:val="0"/>
          <w:sz w:val="24"/>
        </w:rPr>
        <w:t xml:space="preserve">The MORC discussed varying levels of reimbursement from 50 cents, to 65 and ultimately landed on 70 cents as an amount that would be attractive to the handlers to encourage use of </w:t>
      </w:r>
      <w:r w:rsidRPr="00254D14">
        <w:rPr>
          <w:rFonts w:ascii="Calisto MT" w:hAnsi="Calisto MT"/>
          <w:b w:val="0"/>
          <w:sz w:val="24"/>
        </w:rPr>
        <w:lastRenderedPageBreak/>
        <w:t xml:space="preserve">the program with the intent to spur increased investment in walnut activities.  </w:t>
      </w:r>
      <w:r w:rsidRPr="00254D14">
        <w:rPr>
          <w:rFonts w:ascii="Calisto MT" w:hAnsi="Calisto MT"/>
          <w:b w:val="0"/>
          <w:bCs w:val="0"/>
          <w:sz w:val="24"/>
        </w:rPr>
        <w:t>Reimbursement via check would be made following the submission and processing of the activity, subject to the eligibility of submission.  It is the intent of the Board to ensure timely processing and reimbursement with the all facets of the program.  The CWB fiscal year end is August 31</w:t>
      </w:r>
      <w:r w:rsidRPr="00254D14">
        <w:rPr>
          <w:rFonts w:ascii="Calisto MT" w:hAnsi="Calisto MT"/>
          <w:b w:val="0"/>
          <w:bCs w:val="0"/>
          <w:sz w:val="24"/>
          <w:vertAlign w:val="superscript"/>
        </w:rPr>
        <w:t>st</w:t>
      </w:r>
      <w:r w:rsidRPr="00254D14">
        <w:rPr>
          <w:rFonts w:ascii="Calisto MT" w:hAnsi="Calisto MT"/>
          <w:b w:val="0"/>
          <w:bCs w:val="0"/>
          <w:sz w:val="24"/>
        </w:rPr>
        <w:t xml:space="preserve">.  In order for the CWB to be able to close the books and prepare for our financial audit, all </w:t>
      </w:r>
      <w:r>
        <w:rPr>
          <w:rFonts w:ascii="Calisto MT" w:hAnsi="Calisto MT"/>
          <w:b w:val="0"/>
          <w:bCs w:val="0"/>
          <w:sz w:val="24"/>
        </w:rPr>
        <w:t xml:space="preserve">requests for </w:t>
      </w:r>
      <w:r w:rsidRPr="00254D14">
        <w:rPr>
          <w:rFonts w:ascii="Calisto MT" w:hAnsi="Calisto MT"/>
          <w:b w:val="0"/>
          <w:bCs w:val="0"/>
          <w:sz w:val="24"/>
        </w:rPr>
        <w:t>reimbursement need to be received in a timely manner.</w:t>
      </w:r>
    </w:p>
    <w:p w:rsidR="006251CC" w:rsidRPr="00254D14" w:rsidRDefault="006251CC" w:rsidP="006251CC">
      <w:pPr>
        <w:pStyle w:val="BodyText2"/>
        <w:ind w:firstLine="360"/>
        <w:jc w:val="both"/>
        <w:rPr>
          <w:rFonts w:ascii="Calisto MT" w:hAnsi="Calisto MT"/>
          <w:b w:val="0"/>
          <w:sz w:val="24"/>
        </w:rPr>
      </w:pPr>
    </w:p>
    <w:p w:rsidR="006251CC" w:rsidRPr="00254D14" w:rsidRDefault="006251CC" w:rsidP="006251CC">
      <w:pPr>
        <w:pStyle w:val="BodyText2"/>
        <w:jc w:val="both"/>
        <w:rPr>
          <w:rFonts w:ascii="Calisto MT" w:hAnsi="Calisto MT"/>
          <w:b w:val="0"/>
          <w:bCs w:val="0"/>
          <w:sz w:val="24"/>
        </w:rPr>
      </w:pPr>
      <w:r w:rsidRPr="00254D14">
        <w:rPr>
          <w:rFonts w:ascii="Calisto MT" w:hAnsi="Calisto MT"/>
          <w:b w:val="0"/>
          <w:bCs w:val="0"/>
          <w:sz w:val="24"/>
        </w:rPr>
        <w:t xml:space="preserve">The program will be evaluated on an annualized basis </w:t>
      </w:r>
      <w:r>
        <w:rPr>
          <w:rFonts w:ascii="Calisto MT" w:hAnsi="Calisto MT"/>
          <w:b w:val="0"/>
          <w:bCs w:val="0"/>
          <w:sz w:val="24"/>
        </w:rPr>
        <w:t>and can be changed through the i</w:t>
      </w:r>
      <w:r w:rsidRPr="00254D14">
        <w:rPr>
          <w:rFonts w:ascii="Calisto MT" w:hAnsi="Calisto MT"/>
          <w:b w:val="0"/>
          <w:bCs w:val="0"/>
          <w:sz w:val="24"/>
        </w:rPr>
        <w:t xml:space="preserve">nformal rulemaking process with the approval of the secretary. </w:t>
      </w:r>
    </w:p>
    <w:p w:rsidR="006251CC" w:rsidRPr="008654CC" w:rsidRDefault="006251CC" w:rsidP="006251CC">
      <w:pPr>
        <w:pStyle w:val="BodyText2"/>
        <w:rPr>
          <w:rFonts w:ascii="Calisto MT" w:hAnsi="Calisto MT"/>
          <w:b w:val="0"/>
          <w:bCs w:val="0"/>
          <w:sz w:val="24"/>
        </w:rPr>
      </w:pPr>
    </w:p>
    <w:p w:rsidR="006251CC" w:rsidRPr="00254D14" w:rsidRDefault="006251CC" w:rsidP="006251CC">
      <w:pPr>
        <w:pStyle w:val="BodyText2"/>
        <w:rPr>
          <w:rFonts w:ascii="Calisto MT" w:hAnsi="Calisto MT"/>
          <w:bCs w:val="0"/>
          <w:sz w:val="24"/>
          <w:u w:val="single"/>
        </w:rPr>
      </w:pPr>
      <w:r>
        <w:rPr>
          <w:rFonts w:ascii="Calisto MT" w:hAnsi="Calisto MT"/>
          <w:bCs w:val="0"/>
          <w:sz w:val="24"/>
          <w:u w:val="single"/>
        </w:rPr>
        <w:t xml:space="preserve">In regard to Paragraph (b) - </w:t>
      </w:r>
      <w:r w:rsidRPr="00254D14">
        <w:rPr>
          <w:rFonts w:ascii="Calisto MT" w:hAnsi="Calisto MT"/>
          <w:b w:val="0"/>
          <w:sz w:val="24"/>
        </w:rPr>
        <w:t>Handlers can only receive reimbursement on funds which they have paid therefore; it is the intent of the Board that handlers would be fully paid on all assessments before any reimbursement would be given.</w:t>
      </w:r>
      <w:r>
        <w:rPr>
          <w:rFonts w:ascii="Calisto MT" w:hAnsi="Calisto MT"/>
          <w:b w:val="0"/>
          <w:sz w:val="24"/>
        </w:rPr>
        <w:t xml:space="preserve"> </w:t>
      </w:r>
      <w:r w:rsidRPr="00B0754E">
        <w:rPr>
          <w:rFonts w:ascii="Calisto MT" w:hAnsi="Calisto MT"/>
          <w:b w:val="0"/>
          <w:i/>
          <w:sz w:val="24"/>
        </w:rPr>
        <w:t>*note – wholly owned subsidiaries</w:t>
      </w:r>
      <w:r>
        <w:rPr>
          <w:rFonts w:ascii="Calisto MT" w:hAnsi="Calisto MT"/>
          <w:b w:val="0"/>
          <w:i/>
          <w:sz w:val="24"/>
        </w:rPr>
        <w:t>, no 3</w:t>
      </w:r>
      <w:r w:rsidRPr="00B0754E">
        <w:rPr>
          <w:rFonts w:ascii="Calisto MT" w:hAnsi="Calisto MT"/>
          <w:b w:val="0"/>
          <w:i/>
          <w:sz w:val="24"/>
          <w:vertAlign w:val="superscript"/>
        </w:rPr>
        <w:t>rd</w:t>
      </w:r>
      <w:r>
        <w:rPr>
          <w:rFonts w:ascii="Calisto MT" w:hAnsi="Calisto MT"/>
          <w:b w:val="0"/>
          <w:i/>
          <w:sz w:val="24"/>
        </w:rPr>
        <w:t xml:space="preserve"> party, affiliate</w:t>
      </w:r>
    </w:p>
    <w:p w:rsidR="006251CC" w:rsidRPr="008654CC" w:rsidRDefault="006251CC" w:rsidP="006251CC">
      <w:pPr>
        <w:pStyle w:val="BodyText2"/>
        <w:ind w:left="360"/>
        <w:rPr>
          <w:rFonts w:ascii="Calisto MT" w:hAnsi="Calisto MT"/>
          <w:b w:val="0"/>
          <w:bCs w:val="0"/>
          <w:color w:val="5B9BD5" w:themeColor="accent1"/>
          <w:sz w:val="24"/>
        </w:rPr>
      </w:pPr>
      <w:r w:rsidRPr="008654CC">
        <w:rPr>
          <w:rFonts w:ascii="Calisto MT" w:hAnsi="Calisto MT"/>
          <w:b w:val="0"/>
          <w:color w:val="5B9BD5" w:themeColor="accent1"/>
          <w:sz w:val="24"/>
        </w:rPr>
        <w:t xml:space="preserve"> </w:t>
      </w:r>
    </w:p>
    <w:p w:rsidR="006251CC" w:rsidRPr="00254D14" w:rsidRDefault="006251CC" w:rsidP="006251CC">
      <w:pPr>
        <w:pStyle w:val="BodyText2"/>
        <w:rPr>
          <w:rFonts w:ascii="Calisto MT" w:hAnsi="Calisto MT"/>
          <w:sz w:val="24"/>
          <w:u w:val="single"/>
        </w:rPr>
      </w:pPr>
      <w:r>
        <w:rPr>
          <w:rFonts w:ascii="Calisto MT" w:hAnsi="Calisto MT"/>
          <w:sz w:val="24"/>
          <w:u w:val="single"/>
        </w:rPr>
        <w:t>With regard to paragraph</w:t>
      </w:r>
      <w:r w:rsidRPr="008654CC">
        <w:rPr>
          <w:rFonts w:ascii="Calisto MT" w:hAnsi="Calisto MT"/>
          <w:sz w:val="24"/>
          <w:u w:val="single"/>
        </w:rPr>
        <w:t xml:space="preserve"> (c)</w:t>
      </w:r>
      <w:r>
        <w:rPr>
          <w:rFonts w:ascii="Calisto MT" w:hAnsi="Calisto MT"/>
          <w:sz w:val="24"/>
          <w:u w:val="single"/>
        </w:rPr>
        <w:t xml:space="preserve"> – </w:t>
      </w:r>
      <w:r w:rsidRPr="00FF1E79">
        <w:rPr>
          <w:rFonts w:ascii="Calisto MT" w:hAnsi="Calisto MT"/>
          <w:b w:val="0"/>
          <w:sz w:val="24"/>
        </w:rPr>
        <w:t>T</w:t>
      </w:r>
      <w:r w:rsidRPr="00254D14">
        <w:rPr>
          <w:rFonts w:ascii="Calisto MT" w:hAnsi="Calisto MT"/>
          <w:b w:val="0"/>
          <w:sz w:val="24"/>
        </w:rPr>
        <w:t>he intent of the Board is to eliminate any potential abu</w:t>
      </w:r>
      <w:r>
        <w:rPr>
          <w:rFonts w:ascii="Calisto MT" w:hAnsi="Calisto MT"/>
          <w:b w:val="0"/>
          <w:sz w:val="24"/>
        </w:rPr>
        <w:t xml:space="preserve">ses of the program by ensuring </w:t>
      </w:r>
      <w:r w:rsidRPr="00254D14">
        <w:rPr>
          <w:rFonts w:ascii="Calisto MT" w:hAnsi="Calisto MT"/>
          <w:b w:val="0"/>
          <w:sz w:val="24"/>
        </w:rPr>
        <w:t xml:space="preserve">that </w:t>
      </w:r>
      <w:r w:rsidRPr="00254D14">
        <w:rPr>
          <w:rFonts w:ascii="Calisto MT" w:hAnsi="Calisto MT"/>
          <w:b w:val="0"/>
          <w:i/>
          <w:sz w:val="24"/>
        </w:rPr>
        <w:t>“only to the handler who performed such activities and who filed a claim for Credit-Back”</w:t>
      </w:r>
      <w:r w:rsidRPr="00254D14">
        <w:rPr>
          <w:rFonts w:ascii="Calisto MT" w:hAnsi="Calisto MT"/>
          <w:b w:val="0"/>
          <w:sz w:val="24"/>
        </w:rPr>
        <w:t xml:space="preserve">.  </w:t>
      </w:r>
      <w:r w:rsidRPr="00254D14">
        <w:rPr>
          <w:rFonts w:ascii="Calisto MT" w:hAnsi="Calisto MT"/>
          <w:b w:val="0"/>
          <w:bCs w:val="0"/>
          <w:sz w:val="24"/>
        </w:rPr>
        <w:t xml:space="preserve">The handlers have to provide documentation including a credit back form, along with copies of the proof of payment, evidence of the activity in order to prove they conducted the activity. </w:t>
      </w:r>
    </w:p>
    <w:p w:rsidR="006251CC" w:rsidRPr="008654CC" w:rsidRDefault="006251CC" w:rsidP="006251CC">
      <w:pPr>
        <w:pStyle w:val="BodyText2"/>
        <w:rPr>
          <w:rFonts w:ascii="Calisto MT" w:hAnsi="Calisto MT"/>
          <w:sz w:val="24"/>
          <w:u w:val="single"/>
        </w:rPr>
      </w:pPr>
    </w:p>
    <w:p w:rsidR="006251CC" w:rsidRPr="008654CC" w:rsidRDefault="006251CC" w:rsidP="006251CC">
      <w:pPr>
        <w:pStyle w:val="BodyText2"/>
        <w:rPr>
          <w:rFonts w:ascii="Calisto MT" w:hAnsi="Calisto MT"/>
          <w:bCs w:val="0"/>
          <w:sz w:val="24"/>
          <w:u w:val="single"/>
        </w:rPr>
      </w:pPr>
      <w:r>
        <w:rPr>
          <w:rFonts w:ascii="Calisto MT" w:hAnsi="Calisto MT"/>
          <w:sz w:val="24"/>
          <w:u w:val="single"/>
        </w:rPr>
        <w:t xml:space="preserve">Re: </w:t>
      </w:r>
      <w:r w:rsidRPr="008654CC">
        <w:rPr>
          <w:rFonts w:ascii="Calisto MT" w:hAnsi="Calisto MT"/>
          <w:sz w:val="24"/>
          <w:u w:val="single"/>
        </w:rPr>
        <w:t>Paragraph (d)</w:t>
      </w:r>
    </w:p>
    <w:p w:rsidR="006251CC" w:rsidRPr="00254D14" w:rsidRDefault="006251CC" w:rsidP="006251CC">
      <w:pPr>
        <w:pStyle w:val="BodyText2"/>
        <w:rPr>
          <w:rFonts w:ascii="Calisto MT" w:hAnsi="Calisto MT"/>
          <w:b w:val="0"/>
          <w:bCs w:val="0"/>
          <w:sz w:val="24"/>
        </w:rPr>
      </w:pPr>
      <w:r w:rsidRPr="00254D14">
        <w:rPr>
          <w:rFonts w:ascii="Calisto MT" w:hAnsi="Calisto MT"/>
          <w:b w:val="0"/>
          <w:bCs w:val="0"/>
          <w:sz w:val="24"/>
        </w:rPr>
        <w:t xml:space="preserve">Budget for the program and the handlers portion of eligibility are established annually, any unused funds are returned to the reserve, therefore any qualifying activities can only be reimbursed in the year for which they are established. </w:t>
      </w:r>
    </w:p>
    <w:p w:rsidR="006251CC" w:rsidRPr="008654CC" w:rsidRDefault="006251CC" w:rsidP="006251CC">
      <w:pPr>
        <w:pStyle w:val="BodyText2"/>
        <w:rPr>
          <w:rFonts w:ascii="Calisto MT" w:hAnsi="Calisto MT"/>
          <w:b w:val="0"/>
          <w:bCs w:val="0"/>
          <w:sz w:val="24"/>
        </w:rPr>
      </w:pPr>
    </w:p>
    <w:p w:rsidR="006251CC" w:rsidRPr="008654CC" w:rsidRDefault="006251CC" w:rsidP="006251CC">
      <w:pPr>
        <w:pStyle w:val="BodyText2"/>
        <w:rPr>
          <w:rFonts w:ascii="Calisto MT" w:hAnsi="Calisto MT"/>
          <w:bCs w:val="0"/>
          <w:sz w:val="24"/>
          <w:u w:val="single"/>
        </w:rPr>
      </w:pPr>
      <w:r>
        <w:rPr>
          <w:rFonts w:ascii="Calisto MT" w:hAnsi="Calisto MT"/>
          <w:sz w:val="24"/>
          <w:u w:val="single"/>
        </w:rPr>
        <w:t xml:space="preserve">Regarding </w:t>
      </w:r>
      <w:r w:rsidRPr="008654CC">
        <w:rPr>
          <w:rFonts w:ascii="Calisto MT" w:hAnsi="Calisto MT"/>
          <w:sz w:val="24"/>
          <w:u w:val="single"/>
        </w:rPr>
        <w:t>Paragraph (e) 1-4</w:t>
      </w:r>
    </w:p>
    <w:p w:rsidR="006251CC" w:rsidRPr="00254D14" w:rsidRDefault="006251CC" w:rsidP="006251CC">
      <w:pPr>
        <w:pStyle w:val="BodyText2"/>
        <w:autoSpaceDE w:val="0"/>
        <w:autoSpaceDN w:val="0"/>
        <w:adjustRightInd w:val="0"/>
        <w:jc w:val="both"/>
        <w:rPr>
          <w:rFonts w:ascii="Calisto MT" w:hAnsi="Calisto MT"/>
          <w:b w:val="0"/>
          <w:bCs w:val="0"/>
          <w:i/>
          <w:sz w:val="24"/>
        </w:rPr>
      </w:pPr>
      <w:r w:rsidRPr="00254D14">
        <w:rPr>
          <w:rFonts w:ascii="Calisto MT" w:hAnsi="Calisto MT"/>
          <w:b w:val="0"/>
          <w:sz w:val="24"/>
        </w:rPr>
        <w:t xml:space="preserve">The Board is establishing that in developing the </w:t>
      </w:r>
      <w:r>
        <w:rPr>
          <w:rFonts w:ascii="Calisto MT" w:hAnsi="Calisto MT"/>
          <w:b w:val="0"/>
          <w:sz w:val="24"/>
        </w:rPr>
        <w:t>procedures that</w:t>
      </w:r>
      <w:r w:rsidRPr="00254D14">
        <w:rPr>
          <w:rFonts w:ascii="Calisto MT" w:hAnsi="Calisto MT"/>
          <w:b w:val="0"/>
          <w:sz w:val="24"/>
        </w:rPr>
        <w:t xml:space="preserve"> not every activity could be conceived and that exception could be allowed for an expense not covered in the guide, on the premise that these are established norms for the pricing of activities.  The </w:t>
      </w:r>
      <w:r>
        <w:rPr>
          <w:rFonts w:ascii="Calisto MT" w:hAnsi="Calisto MT"/>
          <w:b w:val="0"/>
          <w:sz w:val="24"/>
        </w:rPr>
        <w:t>procedures</w:t>
      </w:r>
      <w:r w:rsidRPr="00254D14">
        <w:rPr>
          <w:rFonts w:ascii="Calisto MT" w:hAnsi="Calisto MT"/>
          <w:b w:val="0"/>
          <w:sz w:val="24"/>
        </w:rPr>
        <w:t xml:space="preserve"> </w:t>
      </w:r>
      <w:r>
        <w:rPr>
          <w:rFonts w:ascii="Calisto MT" w:hAnsi="Calisto MT"/>
          <w:b w:val="0"/>
          <w:sz w:val="24"/>
        </w:rPr>
        <w:t xml:space="preserve">are </w:t>
      </w:r>
      <w:r w:rsidRPr="00254D14">
        <w:rPr>
          <w:rFonts w:ascii="Calisto MT" w:hAnsi="Calisto MT"/>
          <w:b w:val="0"/>
          <w:sz w:val="24"/>
        </w:rPr>
        <w:t xml:space="preserve">expected to evolve over time as needs arise.  The ability to modify the </w:t>
      </w:r>
      <w:r>
        <w:rPr>
          <w:rFonts w:ascii="Calisto MT" w:hAnsi="Calisto MT"/>
          <w:b w:val="0"/>
          <w:sz w:val="24"/>
        </w:rPr>
        <w:t xml:space="preserve">procedures </w:t>
      </w:r>
      <w:r w:rsidRPr="00254D14">
        <w:rPr>
          <w:rFonts w:ascii="Calisto MT" w:hAnsi="Calisto MT"/>
          <w:b w:val="0"/>
          <w:sz w:val="24"/>
        </w:rPr>
        <w:t>provides the flexibility needed to ensure equity in the program and ultimately compliance with</w:t>
      </w:r>
      <w:r>
        <w:rPr>
          <w:rFonts w:ascii="Calisto MT" w:hAnsi="Calisto MT"/>
          <w:b w:val="0"/>
          <w:sz w:val="24"/>
        </w:rPr>
        <w:t xml:space="preserve"> the procedures.</w:t>
      </w:r>
      <w:r w:rsidRPr="00254D14">
        <w:rPr>
          <w:rFonts w:ascii="Calisto MT" w:hAnsi="Calisto MT"/>
          <w:b w:val="0"/>
          <w:sz w:val="24"/>
        </w:rPr>
        <w:t xml:space="preserve"> </w:t>
      </w:r>
    </w:p>
    <w:p w:rsidR="006251CC" w:rsidRPr="00254D14" w:rsidRDefault="006251CC" w:rsidP="006251CC">
      <w:pPr>
        <w:pStyle w:val="BodyText2"/>
        <w:autoSpaceDE w:val="0"/>
        <w:autoSpaceDN w:val="0"/>
        <w:adjustRightInd w:val="0"/>
        <w:jc w:val="both"/>
        <w:rPr>
          <w:rFonts w:ascii="Calisto MT" w:hAnsi="Calisto MT"/>
          <w:b w:val="0"/>
          <w:bCs w:val="0"/>
          <w:i/>
          <w:sz w:val="24"/>
        </w:rPr>
      </w:pPr>
    </w:p>
    <w:p w:rsidR="006251CC" w:rsidRPr="00254D14" w:rsidRDefault="006251CC" w:rsidP="006251CC">
      <w:pPr>
        <w:pStyle w:val="BodyText2"/>
        <w:autoSpaceDE w:val="0"/>
        <w:autoSpaceDN w:val="0"/>
        <w:adjustRightInd w:val="0"/>
        <w:jc w:val="both"/>
        <w:rPr>
          <w:rFonts w:ascii="Calisto MT" w:hAnsi="Calisto MT"/>
          <w:b w:val="0"/>
          <w:sz w:val="24"/>
        </w:rPr>
      </w:pPr>
      <w:r w:rsidRPr="00254D14">
        <w:rPr>
          <w:rFonts w:ascii="Calisto MT" w:hAnsi="Calisto MT"/>
          <w:b w:val="0"/>
          <w:sz w:val="24"/>
        </w:rPr>
        <w:t xml:space="preserve">The Board established a caveat for “accepted professional practices” to ensure consistency and minimize program abuse, something such as agency rates, where the standards is 15% would be the standard to which an activity would be judged.  A claim submitted with an agency rate of say 30% would be rejected given the established norm for that activity.  </w:t>
      </w:r>
    </w:p>
    <w:p w:rsidR="006251CC" w:rsidRDefault="006251CC" w:rsidP="006251CC">
      <w:pPr>
        <w:pStyle w:val="BodyText2"/>
        <w:autoSpaceDE w:val="0"/>
        <w:autoSpaceDN w:val="0"/>
        <w:adjustRightInd w:val="0"/>
        <w:rPr>
          <w:rFonts w:ascii="Calisto MT" w:hAnsi="Calisto MT"/>
          <w:bCs w:val="0"/>
          <w:sz w:val="24"/>
          <w:u w:val="single"/>
        </w:rPr>
      </w:pPr>
    </w:p>
    <w:p w:rsidR="006251CC" w:rsidRPr="008654CC" w:rsidRDefault="006251CC" w:rsidP="006251CC">
      <w:pPr>
        <w:pStyle w:val="BodyText2"/>
        <w:autoSpaceDE w:val="0"/>
        <w:autoSpaceDN w:val="0"/>
        <w:adjustRightInd w:val="0"/>
        <w:rPr>
          <w:rFonts w:ascii="Calisto MT" w:hAnsi="Calisto MT"/>
          <w:b w:val="0"/>
          <w:bCs w:val="0"/>
          <w:sz w:val="24"/>
        </w:rPr>
      </w:pPr>
    </w:p>
    <w:p w:rsidR="006251CC" w:rsidRPr="008654CC" w:rsidRDefault="006251CC" w:rsidP="006251CC">
      <w:pPr>
        <w:rPr>
          <w:rFonts w:ascii="Calisto MT" w:hAnsi="Calisto MT"/>
          <w:b/>
        </w:rPr>
      </w:pPr>
      <w:bookmarkStart w:id="0" w:name="_GoBack"/>
      <w:bookmarkEnd w:id="0"/>
    </w:p>
    <w:sectPr w:rsidR="006251CC" w:rsidRPr="00865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CC"/>
    <w:rsid w:val="003235AD"/>
    <w:rsid w:val="00620516"/>
    <w:rsid w:val="006251CC"/>
    <w:rsid w:val="009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BAA9-F297-4294-8B83-2A91E87B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BodyText2">
    <w:name w:val="Body Text 2"/>
    <w:basedOn w:val="Normal"/>
    <w:link w:val="BodyText2Char"/>
    <w:semiHidden/>
    <w:rsid w:val="006251CC"/>
    <w:rPr>
      <w:rFonts w:ascii="Arial Narrow" w:hAnsi="Arial Narrow"/>
      <w:b/>
      <w:bCs/>
      <w:sz w:val="22"/>
    </w:rPr>
  </w:style>
  <w:style w:type="character" w:customStyle="1" w:styleId="BodyText2Char">
    <w:name w:val="Body Text 2 Char"/>
    <w:basedOn w:val="DefaultParagraphFont"/>
    <w:link w:val="BodyText2"/>
    <w:semiHidden/>
    <w:rsid w:val="006251CC"/>
    <w:rPr>
      <w:rFonts w:ascii="Arial Narrow" w:eastAsia="Times New Roman" w:hAnsi="Arial Narrow" w:cs="Times New Roman"/>
      <w:b/>
      <w:bCs/>
      <w:szCs w:val="24"/>
    </w:rPr>
  </w:style>
  <w:style w:type="paragraph" w:styleId="NoSpacing">
    <w:name w:val="No Spacing"/>
    <w:uiPriority w:val="1"/>
    <w:qFormat/>
    <w:rsid w:val="00625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2</cp:revision>
  <dcterms:created xsi:type="dcterms:W3CDTF">2020-04-13T23:51:00Z</dcterms:created>
  <dcterms:modified xsi:type="dcterms:W3CDTF">2020-04-14T00:01:00Z</dcterms:modified>
</cp:coreProperties>
</file>