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32E" w:rsidRDefault="00D0532E" w:rsidP="0068798D">
      <w:pPr>
        <w:pStyle w:val="NoSpacing"/>
      </w:pPr>
    </w:p>
    <w:tbl>
      <w:tblPr>
        <w:tblW w:w="11420" w:type="dxa"/>
        <w:tblLook w:val="04A0" w:firstRow="1" w:lastRow="0" w:firstColumn="1" w:lastColumn="0" w:noHBand="0" w:noVBand="1"/>
      </w:tblPr>
      <w:tblGrid>
        <w:gridCol w:w="1000"/>
        <w:gridCol w:w="1540"/>
        <w:gridCol w:w="1020"/>
        <w:gridCol w:w="1120"/>
        <w:gridCol w:w="800"/>
        <w:gridCol w:w="934"/>
        <w:gridCol w:w="1120"/>
        <w:gridCol w:w="840"/>
        <w:gridCol w:w="1020"/>
        <w:gridCol w:w="1020"/>
        <w:gridCol w:w="1020"/>
      </w:tblGrid>
      <w:tr w:rsidR="0068798D" w:rsidRPr="0068798D" w:rsidTr="0068798D">
        <w:trPr>
          <w:trHeight w:val="285"/>
        </w:trPr>
        <w:tc>
          <w:tcPr>
            <w:tcW w:w="114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68798D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 xml:space="preserve">Table </w:t>
            </w:r>
            <w:r w:rsidR="0029647A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6</w:t>
            </w:r>
            <w:r w:rsidRPr="0068798D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 xml:space="preserve"> --Walnuts: Supply and utilization (1000 pounds, shelled basis), 2000/01 to 2018/19</w:t>
            </w:r>
            <w:r w:rsidRPr="0068798D">
              <w:rPr>
                <w:rFonts w:ascii="Helvetica" w:eastAsia="Times New Roman" w:hAnsi="Helvetica" w:cs="Helvetica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68798D" w:rsidRPr="0068798D" w:rsidTr="0068798D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Season</w:t>
            </w: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Utilized production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 xml:space="preserve">Loss </w:t>
            </w:r>
            <w:proofErr w:type="gramStart"/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and  exempt</w:t>
            </w:r>
            <w:proofErr w:type="gramEnd"/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 xml:space="preserve"> </w:t>
            </w: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Marketable production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Imports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Beginning stocks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Total supply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Ending stocks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Exports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Dome</w:t>
            </w:r>
            <w:r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s</w:t>
            </w: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tic Utilization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</w:pPr>
            <w:r w:rsidRPr="0068798D">
              <w:rPr>
                <w:rFonts w:ascii="HelveticaNeueforSAS" w:eastAsia="Times New Roman" w:hAnsi="HelveticaNeueforSAS" w:cs="Calibri"/>
                <w:color w:val="000000"/>
                <w:sz w:val="16"/>
                <w:szCs w:val="16"/>
              </w:rPr>
              <w:t>Per capita utilization (pounds)</w:t>
            </w:r>
          </w:p>
        </w:tc>
        <w:bookmarkStart w:id="0" w:name="_GoBack"/>
        <w:bookmarkEnd w:id="0"/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</w:rPr>
              <w:t>(1)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</w:rPr>
              <w:t>(2)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</w:rPr>
              <w:t>(3)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</w:rPr>
              <w:t>(4)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</w:rPr>
              <w:t>(5)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</w:rPr>
              <w:t>(6)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</w:rPr>
              <w:t>(7)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</w:rPr>
              <w:t>(8)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</w:rPr>
              <w:t>(9)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>
              <w:rPr>
                <w:rFonts w:ascii="Helvetica" w:eastAsia="Times New Roman" w:hAnsi="Helvetica" w:cs="Helvetica"/>
                <w:sz w:val="16"/>
                <w:szCs w:val="16"/>
              </w:rPr>
              <w:t>(10)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2000/01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204,857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204,000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63,393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267,751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46,218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97,083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124,450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0.44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2001/02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257,556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256,711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46,218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303,128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80,004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103,420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119,704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0.42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2002/03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243,963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243,098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80,004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323,294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57,505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113,966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151,824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0.52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2003/04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279,429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278,571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57,505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336,488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63,210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126,356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146,922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0.50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2004/05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282,360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281,491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729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63,210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345,430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52,577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137,908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154,944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0.53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2005/06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315,989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315,099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1,050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52,577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368,726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39,288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205,380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124,058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0.42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2006/07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296,931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296,073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2,257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39,288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337,618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19,687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156,355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161,576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0.54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2007/08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280,427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279,573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8,712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19,687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307,972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19,885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144,673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143,414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0.47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2008/09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396,364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395,455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2,063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19,885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417,402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52,553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220,074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144,776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0.47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2009/10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387,870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386,982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3,378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52,553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442,913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37,321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235,463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170,129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0.55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2010/11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441,521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440,645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37,321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478,459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35,859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303,214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139,386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0.45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2011/12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400,631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399,762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4,848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35,859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440,469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42,740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266,439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131,290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0.42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2012/13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442,099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441,209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8,417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42,740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492,367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40,749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304,292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147,326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0.47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2013/14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437,651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436,762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11,910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40,749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489,420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34,325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307,371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147,724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0.47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2014/15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506,052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505,166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21,166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34,325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560,658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73,992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355,701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130,964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0.41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2015/16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526,957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526,087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10,782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73,992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610,861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56,571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427,263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127,026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0.39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2016/17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608,431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607,548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15,731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56,571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679,850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49,372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446,957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183,521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0.57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2017/18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557,143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556,259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12,740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49,372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618,370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56,046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399,382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162,943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0.50</w:t>
            </w:r>
          </w:p>
        </w:tc>
      </w:tr>
      <w:tr w:rsidR="0068798D" w:rsidRPr="0068798D" w:rsidTr="0068798D">
        <w:trPr>
          <w:trHeight w:val="2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 xml:space="preserve"> 2018/19 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596,725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595,842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2,556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56,046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654,444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58,500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418,850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177,093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16"/>
                <w:szCs w:val="16"/>
              </w:rPr>
            </w:pPr>
            <w:r w:rsidRPr="0068798D">
              <w:rPr>
                <w:rFonts w:ascii="Helvetica" w:eastAsia="Times New Roman" w:hAnsi="Helvetica" w:cs="Helvetica"/>
                <w:sz w:val="16"/>
                <w:szCs w:val="16"/>
              </w:rPr>
              <w:t>0.54</w:t>
            </w:r>
          </w:p>
        </w:tc>
      </w:tr>
      <w:tr w:rsidR="0068798D" w:rsidRPr="0068798D" w:rsidTr="0068798D">
        <w:trPr>
          <w:trHeight w:val="240"/>
        </w:trPr>
        <w:tc>
          <w:tcPr>
            <w:tcW w:w="114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4"/>
                <w:szCs w:val="14"/>
              </w:rPr>
            </w:pPr>
            <w:r w:rsidRPr="0068798D">
              <w:rPr>
                <w:rFonts w:ascii="Helvetica" w:eastAsia="Times New Roman" w:hAnsi="Helvetica" w:cs="Helvetica"/>
                <w:sz w:val="14"/>
                <w:szCs w:val="14"/>
              </w:rPr>
              <w:t xml:space="preserve">P = Preliminary.  </w:t>
            </w:r>
          </w:p>
        </w:tc>
      </w:tr>
      <w:tr w:rsidR="0068798D" w:rsidRPr="0068798D" w:rsidTr="0068798D">
        <w:trPr>
          <w:trHeight w:val="390"/>
        </w:trPr>
        <w:tc>
          <w:tcPr>
            <w:tcW w:w="11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4"/>
                <w:szCs w:val="14"/>
              </w:rPr>
            </w:pPr>
            <w:r w:rsidRPr="0068798D">
              <w:rPr>
                <w:rFonts w:ascii="Helvetica" w:eastAsia="Times New Roman" w:hAnsi="Helvetica" w:cs="Helvetica"/>
                <w:sz w:val="14"/>
                <w:szCs w:val="14"/>
              </w:rPr>
              <w:t xml:space="preserve">  1 Conversion factors from in-shell to shelled basis vary year to year for production, stocks, and exports, and were 0.44 in 2010/</w:t>
            </w:r>
            <w:proofErr w:type="gramStart"/>
            <w:r w:rsidRPr="0068798D">
              <w:rPr>
                <w:rFonts w:ascii="Helvetica" w:eastAsia="Times New Roman" w:hAnsi="Helvetica" w:cs="Helvetica"/>
                <w:sz w:val="14"/>
                <w:szCs w:val="14"/>
              </w:rPr>
              <w:t xml:space="preserve">11,   </w:t>
            </w:r>
            <w:proofErr w:type="gramEnd"/>
            <w:r w:rsidRPr="0068798D">
              <w:rPr>
                <w:rFonts w:ascii="Helvetica" w:eastAsia="Times New Roman" w:hAnsi="Helvetica" w:cs="Helvetica"/>
                <w:sz w:val="14"/>
                <w:szCs w:val="14"/>
              </w:rPr>
              <w:t xml:space="preserve"> 0.43 in 2011/12, 0.44 in 2012/13 through 2014/15, 0.43 in 2015/16, and 0.44 in 2016/17 through 2018/19. For imports, the conversion factor was a constant 0.35.</w:t>
            </w:r>
          </w:p>
        </w:tc>
      </w:tr>
      <w:tr w:rsidR="0068798D" w:rsidRPr="0068798D" w:rsidTr="0068798D">
        <w:trPr>
          <w:trHeight w:val="240"/>
        </w:trPr>
        <w:tc>
          <w:tcPr>
            <w:tcW w:w="11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4"/>
                <w:szCs w:val="14"/>
              </w:rPr>
            </w:pPr>
            <w:r w:rsidRPr="0068798D">
              <w:rPr>
                <w:rFonts w:ascii="Helvetica" w:eastAsia="Times New Roman" w:hAnsi="Helvetica" w:cs="Helvetica"/>
                <w:sz w:val="14"/>
                <w:szCs w:val="14"/>
                <w:vertAlign w:val="superscript"/>
              </w:rPr>
              <w:t>2</w:t>
            </w:r>
            <w:r w:rsidRPr="0068798D">
              <w:rPr>
                <w:rFonts w:ascii="Helvetica" w:eastAsia="Times New Roman" w:hAnsi="Helvetica" w:cs="Helvetica"/>
                <w:sz w:val="14"/>
                <w:szCs w:val="14"/>
              </w:rPr>
              <w:t xml:space="preserve"> Season began in August through 2007/08.  As of 2008/09, season begins September 1. </w:t>
            </w:r>
            <w:r w:rsidRPr="0068798D">
              <w:rPr>
                <w:rFonts w:ascii="Helvetica" w:eastAsia="Times New Roman" w:hAnsi="Helvetica" w:cs="Helvetica"/>
                <w:sz w:val="14"/>
                <w:szCs w:val="14"/>
                <w:vertAlign w:val="superscript"/>
              </w:rPr>
              <w:t>3</w:t>
            </w:r>
            <w:r w:rsidRPr="0068798D">
              <w:rPr>
                <w:rFonts w:ascii="Helvetica" w:eastAsia="Times New Roman" w:hAnsi="Helvetica" w:cs="Helvetica"/>
                <w:sz w:val="14"/>
                <w:szCs w:val="14"/>
              </w:rPr>
              <w:t>Inedibles and noncommercial usage.</w:t>
            </w:r>
          </w:p>
        </w:tc>
      </w:tr>
      <w:tr w:rsidR="0068798D" w:rsidRPr="0068798D" w:rsidTr="0068798D">
        <w:trPr>
          <w:trHeight w:val="198"/>
        </w:trPr>
        <w:tc>
          <w:tcPr>
            <w:tcW w:w="11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98D" w:rsidRPr="0068798D" w:rsidRDefault="0068798D" w:rsidP="0068798D">
            <w:pPr>
              <w:spacing w:after="0" w:line="240" w:lineRule="auto"/>
              <w:rPr>
                <w:rFonts w:ascii="Helvetica" w:eastAsia="Times New Roman" w:hAnsi="Helvetica" w:cs="Helvetica"/>
                <w:sz w:val="14"/>
                <w:szCs w:val="14"/>
              </w:rPr>
            </w:pPr>
            <w:r w:rsidRPr="0068798D">
              <w:rPr>
                <w:rFonts w:ascii="Helvetica" w:eastAsia="Times New Roman" w:hAnsi="Helvetica" w:cs="Helvetica"/>
                <w:sz w:val="14"/>
                <w:szCs w:val="14"/>
              </w:rPr>
              <w:t xml:space="preserve">Source:  USDA, Economic Research Service calculations.   </w:t>
            </w:r>
          </w:p>
        </w:tc>
      </w:tr>
    </w:tbl>
    <w:p w:rsidR="0068798D" w:rsidRDefault="0068798D" w:rsidP="0068798D">
      <w:pPr>
        <w:pStyle w:val="NoSpacing"/>
      </w:pPr>
    </w:p>
    <w:p w:rsidR="0068798D" w:rsidRDefault="0068798D" w:rsidP="0068798D">
      <w:pPr>
        <w:pStyle w:val="NoSpacing"/>
      </w:pPr>
    </w:p>
    <w:p w:rsidR="0068798D" w:rsidRDefault="0068798D" w:rsidP="0068798D">
      <w:pPr>
        <w:pStyle w:val="NoSpacing"/>
      </w:pPr>
    </w:p>
    <w:sectPr w:rsidR="0068798D" w:rsidSect="0068798D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39C" w:rsidRDefault="00EB039C" w:rsidP="00EB039C">
      <w:pPr>
        <w:spacing w:after="0" w:line="240" w:lineRule="auto"/>
      </w:pPr>
      <w:r>
        <w:separator/>
      </w:r>
    </w:p>
  </w:endnote>
  <w:endnote w:type="continuationSeparator" w:id="0">
    <w:p w:rsidR="00EB039C" w:rsidRDefault="00EB039C" w:rsidP="00EB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forSAS">
    <w:panose1 w:val="020B0604020202020204"/>
    <w:charset w:val="00"/>
    <w:family w:val="swiss"/>
    <w:pitch w:val="variable"/>
    <w:sig w:usb0="A00002E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5402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39C" w:rsidRDefault="00EB039C">
        <w:pPr>
          <w:pStyle w:val="Footer"/>
          <w:jc w:val="center"/>
        </w:pPr>
        <w:r>
          <w:t>5</w:t>
        </w:r>
      </w:p>
    </w:sdtContent>
  </w:sdt>
  <w:p w:rsidR="00EB039C" w:rsidRDefault="00EB0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39C" w:rsidRDefault="00EB039C" w:rsidP="00EB039C">
      <w:pPr>
        <w:spacing w:after="0" w:line="240" w:lineRule="auto"/>
      </w:pPr>
      <w:r>
        <w:separator/>
      </w:r>
    </w:p>
  </w:footnote>
  <w:footnote w:type="continuationSeparator" w:id="0">
    <w:p w:rsidR="00EB039C" w:rsidRDefault="00EB039C" w:rsidP="00EB0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8D"/>
    <w:rsid w:val="0029647A"/>
    <w:rsid w:val="0068798D"/>
    <w:rsid w:val="00751E87"/>
    <w:rsid w:val="00D0532E"/>
    <w:rsid w:val="00EB039C"/>
    <w:rsid w:val="00F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8976"/>
  <w15:chartTrackingRefBased/>
  <w15:docId w15:val="{2C0EE4A5-666C-455C-B81A-BA5E8644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9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9C"/>
  </w:style>
  <w:style w:type="paragraph" w:styleId="Footer">
    <w:name w:val="footer"/>
    <w:basedOn w:val="Normal"/>
    <w:link w:val="FooterChar"/>
    <w:uiPriority w:val="99"/>
    <w:unhideWhenUsed/>
    <w:rsid w:val="00EB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Hinman, Donald - AMS</dc:creator>
  <cp:keywords/>
  <dc:description/>
  <cp:lastModifiedBy>Hinman, Donald - AMS</cp:lastModifiedBy>
  <cp:revision>5</cp:revision>
  <cp:lastPrinted>2020-04-11T18:39:00Z</cp:lastPrinted>
  <dcterms:created xsi:type="dcterms:W3CDTF">2019-12-19T17:20:00Z</dcterms:created>
  <dcterms:modified xsi:type="dcterms:W3CDTF">2020-04-12T19:19:00Z</dcterms:modified>
</cp:coreProperties>
</file>